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8B" w:rsidRPr="00E017FE" w:rsidRDefault="00E017FE">
      <w:pPr>
        <w:rPr>
          <w:rFonts w:ascii="Arial" w:hAnsi="Arial" w:cs="Arial"/>
          <w:b/>
          <w:sz w:val="20"/>
          <w:szCs w:val="20"/>
        </w:rPr>
      </w:pPr>
      <w:r w:rsidRPr="00E017FE">
        <w:rPr>
          <w:rFonts w:ascii="Arial" w:hAnsi="Arial" w:cs="Arial"/>
          <w:b/>
          <w:sz w:val="20"/>
          <w:szCs w:val="20"/>
        </w:rPr>
        <w:t xml:space="preserve">Data Dictionary: </w:t>
      </w:r>
      <w:r w:rsidR="002335C8">
        <w:rPr>
          <w:rFonts w:ascii="Arial" w:hAnsi="Arial" w:cs="Arial"/>
          <w:b/>
          <w:sz w:val="20"/>
          <w:szCs w:val="20"/>
        </w:rPr>
        <w:t>National Service Provider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3969"/>
        <w:gridCol w:w="7539"/>
      </w:tblGrid>
      <w:tr w:rsidR="00E017FE" w:rsidRPr="00E017FE" w:rsidTr="00E017FE">
        <w:tc>
          <w:tcPr>
            <w:tcW w:w="633" w:type="pct"/>
            <w:shd w:val="clear" w:color="auto" w:fill="D9D9D9" w:themeFill="background1" w:themeFillShade="D9"/>
          </w:tcPr>
          <w:p w:rsidR="00AE5556" w:rsidRPr="00E017FE" w:rsidRDefault="00E12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Variable Name</w:t>
            </w:r>
          </w:p>
        </w:tc>
        <w:tc>
          <w:tcPr>
            <w:tcW w:w="1506" w:type="pct"/>
            <w:shd w:val="clear" w:color="auto" w:fill="D9D9D9" w:themeFill="background1" w:themeFillShade="D9"/>
          </w:tcPr>
          <w:p w:rsidR="00AE5556" w:rsidRPr="00E017FE" w:rsidRDefault="00AE55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61" w:type="pct"/>
            <w:shd w:val="clear" w:color="auto" w:fill="D9D9D9" w:themeFill="background1" w:themeFillShade="D9"/>
          </w:tcPr>
          <w:p w:rsidR="00AE5556" w:rsidRPr="00E017FE" w:rsidRDefault="00E12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Values and Value Labels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Shelter Type</w:t>
            </w:r>
          </w:p>
        </w:tc>
        <w:tc>
          <w:tcPr>
            <w:tcW w:w="1506" w:type="pct"/>
          </w:tcPr>
          <w:p w:rsidR="00AE5556" w:rsidRPr="00E017FE" w:rsidRDefault="00E12DEE" w:rsidP="00E12DEE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 xml:space="preserve">Shelter facilities are categorized by the </w:t>
            </w:r>
            <w:r w:rsidR="00AE5556" w:rsidRPr="00E017FE">
              <w:rPr>
                <w:rFonts w:ascii="Arial" w:hAnsi="Arial" w:cs="Arial"/>
                <w:sz w:val="20"/>
                <w:szCs w:val="20"/>
              </w:rPr>
              <w:t>type of service provided to clients.</w:t>
            </w:r>
          </w:p>
        </w:tc>
        <w:tc>
          <w:tcPr>
            <w:tcW w:w="2861" w:type="pct"/>
          </w:tcPr>
          <w:p w:rsidR="00E12DEE" w:rsidRPr="00E017FE" w:rsidRDefault="00E12DEE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Emergency</w:t>
            </w:r>
            <w:r w:rsidRPr="00E017FE">
              <w:rPr>
                <w:rFonts w:ascii="Arial" w:hAnsi="Arial" w:cs="Arial"/>
                <w:sz w:val="20"/>
                <w:szCs w:val="20"/>
              </w:rPr>
              <w:t>: Emergency shelter facilities provide temporary, short-term accommodation for homeless individuals and families. Other services, such as food, clothing or counselli</w:t>
            </w:r>
            <w:r w:rsidR="00D348CA" w:rsidRPr="00E017FE">
              <w:rPr>
                <w:rFonts w:ascii="Arial" w:hAnsi="Arial" w:cs="Arial"/>
                <w:sz w:val="20"/>
                <w:szCs w:val="20"/>
              </w:rPr>
              <w:t>ng, may or may not be provided.</w:t>
            </w:r>
          </w:p>
          <w:p w:rsidR="00AE5556" w:rsidRPr="00E017FE" w:rsidRDefault="00AE5556" w:rsidP="00E12DEE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Transitional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: Transitional</w:t>
            </w:r>
            <w:r w:rsidRPr="00E017FE">
              <w:rPr>
                <w:rFonts w:ascii="Arial" w:hAnsi="Arial" w:cs="Arial"/>
                <w:sz w:val="20"/>
                <w:szCs w:val="20"/>
              </w:rPr>
              <w:t xml:space="preserve"> housing provides temporary shelter, but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017FE">
              <w:rPr>
                <w:rFonts w:ascii="Arial" w:hAnsi="Arial" w:cs="Arial"/>
                <w:sz w:val="20"/>
                <w:szCs w:val="20"/>
              </w:rPr>
              <w:t>differentiate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d from emergency shelters by</w:t>
            </w:r>
            <w:r w:rsidRPr="00E017FE">
              <w:rPr>
                <w:rFonts w:ascii="Arial" w:hAnsi="Arial" w:cs="Arial"/>
                <w:sz w:val="20"/>
                <w:szCs w:val="20"/>
              </w:rPr>
              <w:t xml:space="preserve"> longer length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s</w:t>
            </w:r>
            <w:r w:rsidRPr="00E017FE">
              <w:rPr>
                <w:rFonts w:ascii="Arial" w:hAnsi="Arial" w:cs="Arial"/>
                <w:sz w:val="20"/>
                <w:szCs w:val="20"/>
              </w:rPr>
              <w:t xml:space="preserve"> of stay and greater intensity of support services offered to clients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. T</w:t>
            </w:r>
            <w:r w:rsidRPr="00E017FE">
              <w:rPr>
                <w:rFonts w:ascii="Arial" w:hAnsi="Arial" w:cs="Arial"/>
                <w:sz w:val="20"/>
                <w:szCs w:val="20"/>
              </w:rPr>
              <w:t xml:space="preserve">ransitional housing is an intermediate step between emergency shelter and permanent housing. 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Province Code</w:t>
            </w:r>
          </w:p>
        </w:tc>
        <w:tc>
          <w:tcPr>
            <w:tcW w:w="1506" w:type="pct"/>
          </w:tcPr>
          <w:p w:rsidR="00AE5556" w:rsidRPr="00E017FE" w:rsidRDefault="00E12DEE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Canadian provincial code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1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 xml:space="preserve">AB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- Alberta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 xml:space="preserve">BC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– British Columbia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MB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- Manitoba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NB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– New Brunswick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NL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 xml:space="preserve">– Newfoundland 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NS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– Nova Scotia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 xml:space="preserve">NT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– Northwest Territories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NU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- Nunavut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- Ontario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PI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2DEE" w:rsidRPr="00E017FE">
              <w:rPr>
                <w:rFonts w:ascii="Arial" w:hAnsi="Arial" w:cs="Arial"/>
                <w:sz w:val="20"/>
                <w:szCs w:val="20"/>
              </w:rPr>
              <w:t>– Prince Edward Island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QC</w:t>
            </w:r>
            <w:r w:rsidR="00E12DEE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- Quebec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SK</w:t>
            </w:r>
            <w:r w:rsidR="00091CB2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- Saskatchewan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YT</w:t>
            </w:r>
            <w:r w:rsidR="00091CB2"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– Yukon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506" w:type="pct"/>
          </w:tcPr>
          <w:p w:rsidR="00AE5556" w:rsidRPr="00E017FE" w:rsidRDefault="00091CB2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Municipality or community.</w:t>
            </w:r>
          </w:p>
        </w:tc>
        <w:tc>
          <w:tcPr>
            <w:tcW w:w="2861" w:type="pct"/>
          </w:tcPr>
          <w:p w:rsidR="00AE5556" w:rsidRPr="00E017FE" w:rsidRDefault="00D348CA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Target</w:t>
            </w:r>
            <w:r w:rsidR="00A505DA">
              <w:rPr>
                <w:rFonts w:ascii="Arial" w:hAnsi="Arial" w:cs="Arial"/>
                <w:sz w:val="20"/>
                <w:szCs w:val="20"/>
              </w:rPr>
              <w:t xml:space="preserve"> Clientele</w:t>
            </w:r>
          </w:p>
        </w:tc>
        <w:tc>
          <w:tcPr>
            <w:tcW w:w="1506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Emergency shelters and transitional housing are further categorized by the clients they serve.</w:t>
            </w:r>
          </w:p>
        </w:tc>
        <w:tc>
          <w:tcPr>
            <w:tcW w:w="2861" w:type="pct"/>
          </w:tcPr>
          <w:p w:rsidR="00AE5556" w:rsidRPr="00E017FE" w:rsidRDefault="00AE55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:</w:t>
            </w:r>
            <w:r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P</w:t>
            </w:r>
            <w:r w:rsidRPr="00E017FE">
              <w:rPr>
                <w:rFonts w:ascii="Arial" w:hAnsi="Arial" w:cs="Arial"/>
                <w:sz w:val="20"/>
                <w:szCs w:val="20"/>
              </w:rPr>
              <w:t>rovide services to adult males and/or females. Some accept youth.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:</w:t>
            </w:r>
            <w:r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P</w:t>
            </w:r>
            <w:r w:rsidRPr="00E017FE">
              <w:rPr>
                <w:rFonts w:ascii="Arial" w:hAnsi="Arial" w:cs="Arial"/>
                <w:sz w:val="20"/>
                <w:szCs w:val="20"/>
              </w:rPr>
              <w:t>rovide services to families and adults with dependants. Some also accept single adult women without dependents.</w:t>
            </w:r>
          </w:p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:</w:t>
            </w:r>
            <w:r w:rsidRPr="00E01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1CB2" w:rsidRPr="00E017FE">
              <w:rPr>
                <w:rFonts w:ascii="Arial" w:hAnsi="Arial" w:cs="Arial"/>
                <w:sz w:val="20"/>
                <w:szCs w:val="20"/>
              </w:rPr>
              <w:t>P</w:t>
            </w:r>
            <w:r w:rsidRPr="00E017FE">
              <w:rPr>
                <w:rFonts w:ascii="Arial" w:hAnsi="Arial" w:cs="Arial"/>
                <w:sz w:val="20"/>
                <w:szCs w:val="20"/>
              </w:rPr>
              <w:t>rovide services to youth. Shelters have varying definitions of youth, which may include a range of ages between 12 and 29 years.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233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  <w:r w:rsidR="0063090C">
              <w:rPr>
                <w:rFonts w:ascii="Arial" w:hAnsi="Arial" w:cs="Arial"/>
                <w:sz w:val="20"/>
                <w:szCs w:val="20"/>
              </w:rPr>
              <w:t>(s) Served</w:t>
            </w:r>
          </w:p>
        </w:tc>
        <w:tc>
          <w:tcPr>
            <w:tcW w:w="1506" w:type="pct"/>
          </w:tcPr>
          <w:p w:rsidR="00AE5556" w:rsidRPr="00E017FE" w:rsidRDefault="00091CB2" w:rsidP="001A3D7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General and youth shelters may or may not off</w:t>
            </w:r>
            <w:r w:rsidR="002335C8">
              <w:rPr>
                <w:rFonts w:ascii="Arial" w:hAnsi="Arial" w:cs="Arial"/>
                <w:sz w:val="20"/>
                <w:szCs w:val="20"/>
              </w:rPr>
              <w:t>er facilities for a specific gender</w:t>
            </w:r>
            <w:r w:rsidRPr="00E01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61" w:type="pct"/>
          </w:tcPr>
          <w:p w:rsidR="00091CB2" w:rsidRPr="00E017FE" w:rsidRDefault="00091CB2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Males</w:t>
            </w:r>
            <w:r w:rsidRPr="00E017FE">
              <w:rPr>
                <w:rFonts w:ascii="Arial" w:hAnsi="Arial" w:cs="Arial"/>
                <w:sz w:val="20"/>
                <w:szCs w:val="20"/>
              </w:rPr>
              <w:t>: Provide services to males.</w:t>
            </w:r>
          </w:p>
          <w:p w:rsidR="00091CB2" w:rsidRPr="00E017FE" w:rsidRDefault="00091CB2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Females</w:t>
            </w:r>
            <w:r w:rsidRPr="00E017FE">
              <w:rPr>
                <w:rFonts w:ascii="Arial" w:hAnsi="Arial" w:cs="Arial"/>
                <w:sz w:val="20"/>
                <w:szCs w:val="20"/>
              </w:rPr>
              <w:t>: Provide services to females.</w:t>
            </w:r>
          </w:p>
          <w:p w:rsidR="00AE5556" w:rsidRPr="00E017FE" w:rsidRDefault="00091CB2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b/>
                <w:sz w:val="20"/>
                <w:szCs w:val="20"/>
              </w:rPr>
              <w:t>Both</w:t>
            </w:r>
            <w:r w:rsidR="002335C8">
              <w:rPr>
                <w:rFonts w:ascii="Arial" w:hAnsi="Arial" w:cs="Arial"/>
                <w:sz w:val="20"/>
                <w:szCs w:val="20"/>
              </w:rPr>
              <w:t>: Provide services to both genders</w:t>
            </w:r>
            <w:r w:rsidRPr="00E017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Shelter Name</w:t>
            </w:r>
          </w:p>
        </w:tc>
        <w:tc>
          <w:tcPr>
            <w:tcW w:w="1506" w:type="pct"/>
          </w:tcPr>
          <w:p w:rsidR="00AE5556" w:rsidRPr="00E017FE" w:rsidRDefault="00AE5556" w:rsidP="00D348CA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The registered shelter name in the National Service Provider List for emergency shelters and transitional housing.</w:t>
            </w:r>
          </w:p>
        </w:tc>
        <w:tc>
          <w:tcPr>
            <w:tcW w:w="2861" w:type="pct"/>
          </w:tcPr>
          <w:p w:rsidR="00AE5556" w:rsidRPr="00E017FE" w:rsidRDefault="00D348CA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E017FE" w:rsidRPr="00E017FE" w:rsidTr="00E017FE">
        <w:tc>
          <w:tcPr>
            <w:tcW w:w="633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Number of Beds</w:t>
            </w:r>
          </w:p>
        </w:tc>
        <w:tc>
          <w:tcPr>
            <w:tcW w:w="1506" w:type="pct"/>
          </w:tcPr>
          <w:p w:rsidR="00AE5556" w:rsidRPr="00E017FE" w:rsidRDefault="00AE5556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The number of permanent beds pro</w:t>
            </w:r>
            <w:r w:rsidR="00D348CA" w:rsidRPr="00E017FE">
              <w:rPr>
                <w:rFonts w:ascii="Arial" w:hAnsi="Arial" w:cs="Arial"/>
                <w:sz w:val="20"/>
                <w:szCs w:val="20"/>
              </w:rPr>
              <w:t xml:space="preserve">vided by each facility, </w:t>
            </w:r>
            <w:r w:rsidR="00A505DA">
              <w:rPr>
                <w:rFonts w:ascii="Arial" w:hAnsi="Arial" w:cs="Arial"/>
                <w:sz w:val="20"/>
                <w:szCs w:val="20"/>
              </w:rPr>
              <w:t>which describes</w:t>
            </w:r>
            <w:r w:rsidRPr="00E017FE">
              <w:rPr>
                <w:rFonts w:ascii="Arial" w:hAnsi="Arial" w:cs="Arial"/>
                <w:sz w:val="20"/>
                <w:szCs w:val="20"/>
              </w:rPr>
              <w:t xml:space="preserve"> the shelter capacity.</w:t>
            </w:r>
          </w:p>
        </w:tc>
        <w:tc>
          <w:tcPr>
            <w:tcW w:w="2861" w:type="pct"/>
          </w:tcPr>
          <w:p w:rsidR="00AE5556" w:rsidRPr="00E017FE" w:rsidRDefault="00D348CA">
            <w:pPr>
              <w:rPr>
                <w:rFonts w:ascii="Arial" w:hAnsi="Arial" w:cs="Arial"/>
                <w:sz w:val="20"/>
                <w:szCs w:val="20"/>
              </w:rPr>
            </w:pPr>
            <w:r w:rsidRPr="00E017FE">
              <w:rPr>
                <w:rFonts w:ascii="Arial" w:hAnsi="Arial" w:cs="Arial"/>
                <w:sz w:val="20"/>
                <w:szCs w:val="20"/>
              </w:rPr>
              <w:t>Numeric</w:t>
            </w:r>
          </w:p>
        </w:tc>
      </w:tr>
    </w:tbl>
    <w:p w:rsidR="00D73861" w:rsidRPr="00E017FE" w:rsidRDefault="00A505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Updated:   21/06</w:t>
      </w:r>
      <w:r w:rsidR="00D348CA" w:rsidRPr="00E017FE">
        <w:rPr>
          <w:rFonts w:ascii="Arial" w:hAnsi="Arial" w:cs="Arial"/>
          <w:sz w:val="20"/>
          <w:szCs w:val="20"/>
        </w:rPr>
        <w:t>/</w:t>
      </w:r>
      <w:r w:rsidR="00D73861" w:rsidRPr="00E017FE">
        <w:rPr>
          <w:rFonts w:ascii="Arial" w:hAnsi="Arial" w:cs="Arial"/>
          <w:sz w:val="20"/>
          <w:szCs w:val="20"/>
        </w:rPr>
        <w:t>2017</w:t>
      </w:r>
    </w:p>
    <w:sectPr w:rsidR="00D73861" w:rsidRPr="00E017FE" w:rsidSect="00D738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8B"/>
    <w:rsid w:val="00034B87"/>
    <w:rsid w:val="00091CB2"/>
    <w:rsid w:val="000D107C"/>
    <w:rsid w:val="001A3D76"/>
    <w:rsid w:val="00222328"/>
    <w:rsid w:val="002335C8"/>
    <w:rsid w:val="004B0520"/>
    <w:rsid w:val="00567C07"/>
    <w:rsid w:val="0063090C"/>
    <w:rsid w:val="00A505DA"/>
    <w:rsid w:val="00AE5556"/>
    <w:rsid w:val="00D348CA"/>
    <w:rsid w:val="00D73861"/>
    <w:rsid w:val="00E017FE"/>
    <w:rsid w:val="00E12DEE"/>
    <w:rsid w:val="00E46681"/>
    <w:rsid w:val="00F86D0E"/>
    <w:rsid w:val="00FA4291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Finkbeiner, Claire [NC]</dc:creator>
  <cp:lastModifiedBy>Finkbeiner, Claire [NC]</cp:lastModifiedBy>
  <cp:revision>11</cp:revision>
  <dcterms:created xsi:type="dcterms:W3CDTF">2017-05-11T18:02:00Z</dcterms:created>
  <dcterms:modified xsi:type="dcterms:W3CDTF">2017-08-04T13:27:00Z</dcterms:modified>
</cp:coreProperties>
</file>